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D2FF" w14:textId="063767B8" w:rsidR="002C4B6A" w:rsidRPr="002C4B6A" w:rsidRDefault="002C4B6A" w:rsidP="002C4B6A">
      <w:pPr>
        <w:spacing w:after="120"/>
        <w:ind w:left="1985" w:hanging="1985"/>
        <w:jc w:val="both"/>
        <w:rPr>
          <w:rFonts w:ascii="Arial" w:eastAsia="SimSun" w:hAnsi="Arial" w:cs="Arial"/>
          <w:b/>
          <w:sz w:val="24"/>
          <w:szCs w:val="24"/>
          <w:lang w:val="en-US"/>
        </w:rPr>
      </w:pPr>
      <w:r w:rsidRPr="002C4B6A">
        <w:rPr>
          <w:rFonts w:ascii="Arial" w:eastAsia="SimSun" w:hAnsi="Arial" w:cs="Arial"/>
          <w:b/>
          <w:sz w:val="24"/>
          <w:szCs w:val="24"/>
          <w:lang w:val="en-US"/>
        </w:rPr>
        <w:t>3GPP TSG-RAN WG4 Meeting #112</w:t>
      </w:r>
      <w:r w:rsidRPr="002C4B6A">
        <w:rPr>
          <w:rFonts w:ascii="Arial" w:eastAsia="SimSun" w:hAnsi="Arial" w:cs="Arial"/>
          <w:b/>
          <w:sz w:val="24"/>
          <w:szCs w:val="24"/>
          <w:lang w:val="en-US"/>
        </w:rPr>
        <w:tab/>
      </w:r>
      <w:r w:rsidRPr="002C4B6A">
        <w:rPr>
          <w:rFonts w:ascii="Arial" w:eastAsia="SimSun" w:hAnsi="Arial" w:cs="Arial"/>
          <w:b/>
          <w:sz w:val="24"/>
          <w:szCs w:val="24"/>
          <w:lang w:val="en-US"/>
        </w:rPr>
        <w:tab/>
        <w:t xml:space="preserve">                 </w:t>
      </w:r>
      <w:r w:rsidR="00472246" w:rsidRPr="00472246">
        <w:rPr>
          <w:rFonts w:ascii="Arial" w:eastAsia="SimSun" w:hAnsi="Arial" w:cs="Arial"/>
          <w:b/>
          <w:sz w:val="24"/>
          <w:szCs w:val="24"/>
          <w:lang w:val="en-US"/>
        </w:rPr>
        <w:t>R4-2411536</w:t>
      </w:r>
    </w:p>
    <w:p w14:paraId="1CD413BA" w14:textId="77777777" w:rsidR="002C4B6A" w:rsidRDefault="002C4B6A" w:rsidP="002C4B6A">
      <w:pPr>
        <w:spacing w:after="120"/>
        <w:ind w:left="1985" w:hanging="1985"/>
        <w:jc w:val="both"/>
        <w:rPr>
          <w:rFonts w:ascii="Arial" w:eastAsia="SimSun" w:hAnsi="Arial" w:cs="Arial"/>
          <w:b/>
          <w:sz w:val="24"/>
          <w:szCs w:val="24"/>
          <w:lang w:val="en-US"/>
        </w:rPr>
      </w:pPr>
      <w:r w:rsidRPr="002C4B6A">
        <w:rPr>
          <w:rFonts w:ascii="Arial" w:eastAsia="SimSun" w:hAnsi="Arial" w:cs="Arial"/>
          <w:b/>
          <w:sz w:val="24"/>
          <w:szCs w:val="24"/>
          <w:lang w:val="en-US"/>
        </w:rPr>
        <w:t>Maastricht, Netherlands, 19th – 23rd August, 2024</w:t>
      </w:r>
    </w:p>
    <w:p w14:paraId="3BD1F4FD" w14:textId="74E8AA24" w:rsidR="0065781A" w:rsidRPr="00067882" w:rsidRDefault="0065781A" w:rsidP="002C4B6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285BBE46"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3F043E" w:rsidRPr="003F043E">
        <w:rPr>
          <w:rFonts w:ascii="Arial" w:hAnsi="Arial" w:cs="Arial"/>
          <w:sz w:val="21"/>
          <w:szCs w:val="21"/>
          <w:lang w:val="en-US"/>
        </w:rPr>
        <w:t>AIoT deployment scenario for D1T1</w:t>
      </w:r>
    </w:p>
    <w:p w14:paraId="0966AF7D" w14:textId="70007BE8"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06724E">
        <w:rPr>
          <w:rFonts w:ascii="Arial" w:hAnsi="Arial" w:cs="Arial"/>
        </w:rPr>
        <w:t>8</w:t>
      </w:r>
      <w:r w:rsidR="001A14E7">
        <w:rPr>
          <w:rFonts w:ascii="Arial" w:hAnsi="Arial" w:cs="Arial"/>
          <w:lang w:val="en-US"/>
        </w:rPr>
        <w:t>.</w:t>
      </w:r>
      <w:r w:rsidR="0006724E">
        <w:rPr>
          <w:rFonts w:ascii="Arial" w:hAnsi="Arial" w:cs="Arial"/>
        </w:rPr>
        <w:t>20</w:t>
      </w:r>
      <w:r w:rsidR="001A14E7">
        <w:rPr>
          <w:rFonts w:ascii="Arial" w:hAnsi="Arial" w:cs="Arial"/>
          <w:lang w:val="en-US"/>
        </w:rPr>
        <w:t>.2</w:t>
      </w:r>
      <w:r w:rsidR="00A82D60">
        <w:rPr>
          <w:rFonts w:ascii="Arial" w:hAnsi="Arial" w:cs="Arial"/>
          <w:lang w:val="en-US"/>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5C84DFC1" w14:textId="04367D47" w:rsidR="0065781A" w:rsidRDefault="00DC2B7E" w:rsidP="00212D68">
      <w:pPr>
        <w:pStyle w:val="BodyText"/>
        <w:jc w:val="both"/>
      </w:pPr>
      <w:r>
        <w:t xml:space="preserve">The </w:t>
      </w:r>
      <w:r w:rsidR="00602212" w:rsidRPr="00602212">
        <w:t>deployment scenario for D1T</w:t>
      </w:r>
      <w:r w:rsidR="00602212">
        <w:t>1</w:t>
      </w:r>
      <w:r w:rsidR="00602212" w:rsidRPr="00602212">
        <w:t xml:space="preserve"> was further </w:t>
      </w:r>
      <w:r>
        <w:t>further discussed in RAN4#111bis [</w:t>
      </w:r>
      <w:r w:rsidR="0055336F">
        <w:t>1</w:t>
      </w:r>
      <w:r>
        <w:t>]</w:t>
      </w:r>
      <w:r w:rsidR="0055336F">
        <w:t xml:space="preserve">, where </w:t>
      </w:r>
      <w:r w:rsidR="00E71537">
        <w:t>the following agreement was made</w:t>
      </w:r>
      <w:r w:rsidR="0076771E">
        <w:t xml:space="preserve"> [2]</w:t>
      </w:r>
      <w:r w:rsidR="00E71537">
        <w:t xml:space="preserve">: </w:t>
      </w:r>
    </w:p>
    <w:p w14:paraId="6A4E7F49" w14:textId="77777777" w:rsidR="0055336F" w:rsidRDefault="0055336F" w:rsidP="0055336F">
      <w:pPr>
        <w:rPr>
          <w:rFonts w:ascii="Times New Roman" w:hAnsi="Times New Roman"/>
          <w:b/>
          <w:bCs/>
          <w:u w:val="single"/>
          <w:lang w:val="en-US"/>
        </w:rPr>
      </w:pPr>
      <w:r>
        <w:rPr>
          <w:b/>
          <w:bCs/>
          <w:u w:val="single"/>
          <w:lang w:val="en-US"/>
        </w:rPr>
        <w:t>Issue 2-1-1: deployment scenarios for D1T1</w:t>
      </w:r>
    </w:p>
    <w:tbl>
      <w:tblPr>
        <w:tblStyle w:val="TableGrid"/>
        <w:tblW w:w="0" w:type="auto"/>
        <w:tblLook w:val="04A0" w:firstRow="1" w:lastRow="0" w:firstColumn="1" w:lastColumn="0" w:noHBand="0" w:noVBand="1"/>
      </w:tblPr>
      <w:tblGrid>
        <w:gridCol w:w="9016"/>
      </w:tblGrid>
      <w:tr w:rsidR="0055336F" w:rsidRPr="0055336F" w14:paraId="421F5803" w14:textId="77777777" w:rsidTr="0055336F">
        <w:tc>
          <w:tcPr>
            <w:tcW w:w="15388" w:type="dxa"/>
            <w:tcBorders>
              <w:top w:val="single" w:sz="4" w:space="0" w:color="auto"/>
              <w:left w:val="single" w:sz="4" w:space="0" w:color="auto"/>
              <w:bottom w:val="single" w:sz="4" w:space="0" w:color="auto"/>
              <w:right w:val="single" w:sz="4" w:space="0" w:color="auto"/>
            </w:tcBorders>
            <w:hideMark/>
          </w:tcPr>
          <w:p w14:paraId="6075FBBE" w14:textId="77777777" w:rsidR="0055336F" w:rsidRDefault="0055336F">
            <w:pPr>
              <w:rPr>
                <w:b/>
                <w:bCs/>
                <w:lang w:val="en-GB"/>
              </w:rPr>
            </w:pPr>
            <w:r w:rsidRPr="0055336F">
              <w:rPr>
                <w:b/>
                <w:bCs/>
              </w:rPr>
              <w:t>Agreement in RAN4#110bis:</w:t>
            </w:r>
          </w:p>
          <w:p w14:paraId="29479B44" w14:textId="77777777" w:rsidR="0055336F" w:rsidRDefault="0055336F">
            <w:pPr>
              <w:rPr>
                <w:rFonts w:eastAsiaTheme="minorEastAsia"/>
                <w:b/>
                <w:bCs/>
                <w:u w:val="single"/>
              </w:rPr>
            </w:pPr>
            <w:r>
              <w:rPr>
                <w:rFonts w:eastAsiaTheme="minorEastAsia"/>
                <w:b/>
                <w:bCs/>
                <w:u w:val="single"/>
              </w:rPr>
              <w:t>Issue 2-1-1: deployment scenarios for D1T1</w:t>
            </w:r>
          </w:p>
          <w:p w14:paraId="3B1C411E" w14:textId="77777777" w:rsidR="0055336F" w:rsidRDefault="0055336F">
            <w:pPr>
              <w:rPr>
                <w:rFonts w:eastAsiaTheme="minorEastAsia"/>
                <w:lang w:val="en-GB" w:eastAsia="en-US"/>
              </w:rPr>
            </w:pPr>
            <w:r>
              <w:rPr>
                <w:rFonts w:eastAsiaTheme="minorEastAsia"/>
              </w:rPr>
              <w:t>Option 1-1: Legacy NR gNB are outdoor macro gNB while AIoT reader/CW/devices are all indoors. Legacy NR UE is only allowed outdoors.</w:t>
            </w:r>
          </w:p>
          <w:p w14:paraId="45FAE554" w14:textId="77777777" w:rsidR="0055336F" w:rsidRDefault="0055336F">
            <w:pPr>
              <w:rPr>
                <w:rFonts w:eastAsiaTheme="minorEastAsia"/>
              </w:rPr>
            </w:pPr>
            <w:r>
              <w:rPr>
                <w:rFonts w:eastAsiaTheme="minorEastAsia"/>
              </w:rPr>
              <w:t>Option 1-2: Legacy NR gNB are outdoor macro gNB while AIoT reader/CW/devices are all indoors. Legacy NR UE is indoor accessing to outdoor NR marco gNB</w:t>
            </w:r>
          </w:p>
          <w:p w14:paraId="453CA1A8" w14:textId="77777777" w:rsidR="0055336F" w:rsidRDefault="0055336F">
            <w:pPr>
              <w:rPr>
                <w:rFonts w:eastAsiaTheme="minorEastAsia"/>
              </w:rPr>
            </w:pPr>
            <w:r>
              <w:rPr>
                <w:rFonts w:eastAsiaTheme="minorEastAsia"/>
              </w:rPr>
              <w:t>Option 2-1:</w:t>
            </w:r>
            <w:r>
              <w:t xml:space="preserve"> </w:t>
            </w:r>
            <w:r>
              <w:rPr>
                <w:rFonts w:eastAsiaTheme="minorEastAsia"/>
              </w:rPr>
              <w:t>Legacy NR gNB are co-located with AIoT reader and CW. All of NR and AIoT BS/UE/Reader/Device/CW are indoors. AIoT reader /CW and Legacy gNB share same hardware</w:t>
            </w:r>
          </w:p>
          <w:p w14:paraId="20679DD9" w14:textId="6EDB5A0B" w:rsidR="0055336F" w:rsidRPr="0055336F" w:rsidRDefault="0055336F" w:rsidP="0055336F">
            <w:pPr>
              <w:rPr>
                <w:rFonts w:eastAsiaTheme="minorEastAsia"/>
              </w:rPr>
            </w:pPr>
            <w:r>
              <w:rPr>
                <w:rFonts w:eastAsiaTheme="minorEastAsia"/>
              </w:rPr>
              <w:t>Option 2-2:</w:t>
            </w:r>
            <w:r>
              <w:t xml:space="preserve"> </w:t>
            </w:r>
            <w:r>
              <w:rPr>
                <w:rFonts w:eastAsiaTheme="minorEastAsia"/>
              </w:rPr>
              <w:t>Legacy NR gNB are co-located with AIoT reader and CW. All of NR and AIoT BS/UE/Reader/Device/CW are indoors. AIoT reader /CW and Legacy NR gNB do not share same hardware. (less limitation on the power boosting)</w:t>
            </w:r>
          </w:p>
        </w:tc>
      </w:tr>
    </w:tbl>
    <w:p w14:paraId="1DDE7BC6" w14:textId="77777777" w:rsidR="0055336F" w:rsidRDefault="0055336F" w:rsidP="0055336F">
      <w:pPr>
        <w:rPr>
          <w:b/>
          <w:bCs/>
          <w:lang w:val="en-US"/>
        </w:rPr>
      </w:pPr>
      <w:r>
        <w:rPr>
          <w:b/>
          <w:bCs/>
          <w:lang w:val="en-US"/>
        </w:rPr>
        <w:t xml:space="preserve">Agreement in RAN4#111: </w:t>
      </w:r>
    </w:p>
    <w:p w14:paraId="7B3F2794" w14:textId="77777777" w:rsidR="0055336F" w:rsidRDefault="0055336F" w:rsidP="0055336F">
      <w:pPr>
        <w:pStyle w:val="ListParagraph"/>
        <w:numPr>
          <w:ilvl w:val="0"/>
          <w:numId w:val="35"/>
        </w:numPr>
        <w:contextualSpacing w:val="0"/>
        <w:textAlignment w:val="auto"/>
        <w:rPr>
          <w:rFonts w:eastAsiaTheme="minorEastAsia"/>
        </w:rPr>
      </w:pPr>
      <w:r>
        <w:rPr>
          <w:rFonts w:eastAsiaTheme="minorEastAsia"/>
        </w:rPr>
        <w:t xml:space="preserve">Consider only adjacent </w:t>
      </w:r>
      <w:r>
        <w:rPr>
          <w:rFonts w:eastAsiaTheme="minorEastAsia"/>
          <w:lang w:eastAsia="zh-CN"/>
        </w:rPr>
        <w:t>RB/</w:t>
      </w:r>
      <w:r>
        <w:rPr>
          <w:rFonts w:eastAsiaTheme="minorEastAsia"/>
        </w:rPr>
        <w:t>channel co-existence evaluation for in-band deployment scenario for NR and AIOT</w:t>
      </w:r>
    </w:p>
    <w:p w14:paraId="40DE5200" w14:textId="77777777" w:rsidR="0055336F" w:rsidRDefault="0055336F" w:rsidP="0055336F">
      <w:pPr>
        <w:pStyle w:val="ListParagraph"/>
        <w:numPr>
          <w:ilvl w:val="0"/>
          <w:numId w:val="35"/>
        </w:numPr>
        <w:contextualSpacing w:val="0"/>
        <w:textAlignment w:val="auto"/>
        <w:rPr>
          <w:rFonts w:eastAsiaTheme="minorEastAsia"/>
        </w:rPr>
      </w:pPr>
      <w:r>
        <w:rPr>
          <w:rFonts w:eastAsiaTheme="minorEastAsia"/>
        </w:rPr>
        <w:t>Encourage companies to provide the simulation results for option 1-1 and 1-2</w:t>
      </w:r>
    </w:p>
    <w:p w14:paraId="2BFC9FF2" w14:textId="77777777" w:rsidR="0055336F" w:rsidRDefault="0055336F" w:rsidP="0055336F">
      <w:pPr>
        <w:pStyle w:val="ListParagraph"/>
        <w:numPr>
          <w:ilvl w:val="1"/>
          <w:numId w:val="36"/>
        </w:numPr>
        <w:contextualSpacing w:val="0"/>
        <w:textAlignment w:val="auto"/>
        <w:rPr>
          <w:rFonts w:eastAsiaTheme="minorEastAsia"/>
        </w:rPr>
      </w:pPr>
      <w:r>
        <w:rPr>
          <w:rFonts w:eastAsiaTheme="minorEastAsia"/>
        </w:rPr>
        <w:t>FFS on co-site scenario (option 2-1 and 2-2)</w:t>
      </w:r>
    </w:p>
    <w:p w14:paraId="5F359FCC" w14:textId="39C73AD4" w:rsidR="00E71537" w:rsidRPr="00E71537" w:rsidRDefault="00E71537" w:rsidP="00E71537">
      <w:pPr>
        <w:pStyle w:val="BodyText"/>
        <w:jc w:val="both"/>
      </w:pPr>
      <w:r w:rsidRPr="00E71537">
        <w:t xml:space="preserve">In this contribution, we further discuss in the feasibility for option 2-1 and option 2-2 </w:t>
      </w:r>
    </w:p>
    <w:p w14:paraId="655B862E" w14:textId="77777777" w:rsidR="00E71537" w:rsidRPr="00E71537" w:rsidRDefault="00E71537" w:rsidP="00212D68">
      <w:pPr>
        <w:pBdr>
          <w:bottom w:val="single" w:sz="4" w:space="0" w:color="auto"/>
        </w:pBdr>
        <w:jc w:val="both"/>
        <w:rPr>
          <w:rFonts w:ascii="Arial" w:hAnsi="Arial" w:cs="Arial"/>
        </w:rPr>
      </w:pPr>
    </w:p>
    <w:p w14:paraId="3B2EBBC1" w14:textId="0F264E52" w:rsidR="005A226F" w:rsidRDefault="00EE49CD" w:rsidP="00EE49CD">
      <w:pPr>
        <w:pStyle w:val="Heading1"/>
        <w:numPr>
          <w:ilvl w:val="0"/>
          <w:numId w:val="8"/>
        </w:numPr>
        <w:jc w:val="both"/>
        <w:rPr>
          <w:lang w:val="en-US"/>
        </w:rPr>
      </w:pPr>
      <w:r w:rsidRPr="00EE49CD">
        <w:rPr>
          <w:lang w:val="en-US"/>
        </w:rPr>
        <w:t xml:space="preserve">Discussion </w:t>
      </w:r>
    </w:p>
    <w:p w14:paraId="07F7A2A7" w14:textId="5C9781A9" w:rsidR="00EE49CD" w:rsidRDefault="007810DC" w:rsidP="007810DC">
      <w:pPr>
        <w:pStyle w:val="BodyText"/>
        <w:jc w:val="both"/>
      </w:pPr>
      <w:r>
        <w:t>In</w:t>
      </w:r>
      <w:r w:rsidR="00EE49CD">
        <w:t xml:space="preserve"> scenario</w:t>
      </w:r>
      <w:r w:rsidR="00630279">
        <w:t xml:space="preserve"> </w:t>
      </w:r>
      <w:r w:rsidR="00630279">
        <w:rPr>
          <w:rFonts w:eastAsiaTheme="minorEastAsia"/>
        </w:rPr>
        <w:t>option 2-1 and 2-2</w:t>
      </w:r>
      <w:r w:rsidR="00EE49CD">
        <w:t xml:space="preserve">, </w:t>
      </w:r>
      <w:r>
        <w:t>the</w:t>
      </w:r>
      <w:r w:rsidR="00EE49CD">
        <w:t xml:space="preserve"> </w:t>
      </w:r>
      <w:r w:rsidR="00EC36BE">
        <w:t>NR gNB will be co-</w:t>
      </w:r>
      <w:r w:rsidR="00837039">
        <w:t>located</w:t>
      </w:r>
      <w:r w:rsidR="00EC36BE">
        <w:t xml:space="preserve"> with AIoT reader and CW</w:t>
      </w:r>
      <w:r w:rsidR="00B74B21">
        <w:t xml:space="preserve">, </w:t>
      </w:r>
      <w:r>
        <w:t xml:space="preserve">and </w:t>
      </w:r>
      <w:r w:rsidR="00B74B21">
        <w:t xml:space="preserve">it can be expected that </w:t>
      </w:r>
      <w:r>
        <w:t>AIoT devices have to</w:t>
      </w:r>
      <w:r w:rsidR="00630279">
        <w:t xml:space="preserve"> face a</w:t>
      </w:r>
      <w:r w:rsidR="00B74B21">
        <w:t xml:space="preserve"> </w:t>
      </w:r>
      <w:r w:rsidR="00630279">
        <w:t>significant interference level due to the closely located NR gNB and UEs compar</w:t>
      </w:r>
      <w:r>
        <w:t>ed</w:t>
      </w:r>
      <w:r w:rsidR="00DA0382">
        <w:t xml:space="preserve"> to the non-collocated scenario (</w:t>
      </w:r>
      <w:r w:rsidR="00DA0382">
        <w:rPr>
          <w:rFonts w:eastAsiaTheme="minorEastAsia"/>
        </w:rPr>
        <w:t>option 1-1 and 1-2</w:t>
      </w:r>
      <w:r w:rsidR="00DA0382">
        <w:t>)</w:t>
      </w:r>
      <w:r w:rsidR="009B7EC5">
        <w:t xml:space="preserve">. </w:t>
      </w:r>
      <w:r>
        <w:t xml:space="preserve">Suppose that the AIoT system is going to be deployed within the NR band and share the spectrum with NR systems (e.g., in-band deployment), due to the lack of frequency </w:t>
      </w:r>
      <w:r w:rsidR="005518DA">
        <w:t xml:space="preserve">selectivity </w:t>
      </w:r>
      <w:r>
        <w:t>on RF-ED receiver. In that case</w:t>
      </w:r>
      <w:r w:rsidR="00CE1FAF">
        <w:t xml:space="preserve">, it will be very challenging for </w:t>
      </w:r>
      <w:r w:rsidR="00173B56">
        <w:t xml:space="preserve">the </w:t>
      </w:r>
      <w:r w:rsidR="00CE1FAF">
        <w:t xml:space="preserve">R2D link </w:t>
      </w:r>
      <w:r w:rsidR="005D2BFC">
        <w:t>to work</w:t>
      </w:r>
      <w:r>
        <w:t>, which means that device type 1 and</w:t>
      </w:r>
      <w:r w:rsidR="00837039">
        <w:t xml:space="preserve"> 2a may not be able to work under such a condition. </w:t>
      </w:r>
    </w:p>
    <w:p w14:paraId="00DA2E91" w14:textId="3B5611A7" w:rsidR="00391833" w:rsidRDefault="00391833" w:rsidP="007810DC">
      <w:pPr>
        <w:pStyle w:val="BodyText"/>
        <w:jc w:val="both"/>
        <w:rPr>
          <w:b/>
          <w:bCs/>
        </w:rPr>
      </w:pPr>
      <w:r w:rsidRPr="00F51742">
        <w:rPr>
          <w:b/>
          <w:bCs/>
        </w:rPr>
        <w:t xml:space="preserve">Observation 1: </w:t>
      </w:r>
      <w:r w:rsidR="007810DC">
        <w:rPr>
          <w:b/>
          <w:bCs/>
        </w:rPr>
        <w:t>T</w:t>
      </w:r>
      <w:r w:rsidRPr="00F51742">
        <w:rPr>
          <w:b/>
          <w:bCs/>
        </w:rPr>
        <w:t>he RF-ED receiver</w:t>
      </w:r>
      <w:r w:rsidR="00837039" w:rsidRPr="00F51742">
        <w:rPr>
          <w:b/>
          <w:bCs/>
        </w:rPr>
        <w:t xml:space="preserve"> in device</w:t>
      </w:r>
      <w:r w:rsidR="007810DC">
        <w:rPr>
          <w:b/>
          <w:bCs/>
        </w:rPr>
        <w:t>s types 1 and 2a has no frequency selectivity, making it very challenging to receive the R2D link</w:t>
      </w:r>
      <w:r w:rsidR="00F51742" w:rsidRPr="00F51742">
        <w:rPr>
          <w:b/>
          <w:bCs/>
        </w:rPr>
        <w:t xml:space="preserve"> if </w:t>
      </w:r>
      <w:r w:rsidR="007810DC">
        <w:rPr>
          <w:b/>
          <w:bCs/>
        </w:rPr>
        <w:t xml:space="preserve">a </w:t>
      </w:r>
      <w:r w:rsidR="00F51742" w:rsidRPr="00F51742">
        <w:rPr>
          <w:b/>
          <w:bCs/>
        </w:rPr>
        <w:t xml:space="preserve">strong NR signal appears on the </w:t>
      </w:r>
      <w:r w:rsidR="00173B56">
        <w:rPr>
          <w:b/>
          <w:bCs/>
        </w:rPr>
        <w:t>adjacent</w:t>
      </w:r>
      <w:r w:rsidR="00173B56" w:rsidRPr="00F51742">
        <w:rPr>
          <w:b/>
          <w:bCs/>
        </w:rPr>
        <w:t xml:space="preserve"> </w:t>
      </w:r>
      <w:r w:rsidR="00F51742" w:rsidRPr="00F51742">
        <w:rPr>
          <w:b/>
          <w:bCs/>
        </w:rPr>
        <w:t>spectrum</w:t>
      </w:r>
      <w:r w:rsidR="002C701D">
        <w:rPr>
          <w:b/>
          <w:bCs/>
        </w:rPr>
        <w:t xml:space="preserve">. </w:t>
      </w:r>
    </w:p>
    <w:p w14:paraId="3CA56D85" w14:textId="10C39416" w:rsidR="00F51742" w:rsidRDefault="00F51742" w:rsidP="007810DC">
      <w:pPr>
        <w:pStyle w:val="BodyText"/>
        <w:jc w:val="both"/>
      </w:pPr>
      <w:r w:rsidRPr="002C701D">
        <w:t xml:space="preserve">On the other hand, </w:t>
      </w:r>
      <w:r w:rsidR="000A5DA8" w:rsidRPr="002C701D">
        <w:t xml:space="preserve">in device 2b, </w:t>
      </w:r>
      <w:r w:rsidR="003A20FE" w:rsidRPr="002C701D">
        <w:t xml:space="preserve">especially if IF-ED </w:t>
      </w:r>
      <w:r w:rsidR="002C701D" w:rsidRPr="002C701D">
        <w:t>architecture</w:t>
      </w:r>
      <w:r w:rsidR="00B00A07" w:rsidRPr="002C701D">
        <w:t xml:space="preserve"> can be used, </w:t>
      </w:r>
      <w:r w:rsidR="00C45DA9">
        <w:t>the</w:t>
      </w:r>
      <w:r w:rsidR="00B00A07" w:rsidRPr="002C701D">
        <w:t xml:space="preserve"> BPF in the IF can </w:t>
      </w:r>
      <w:r w:rsidR="00C45DA9">
        <w:t>improve</w:t>
      </w:r>
      <w:r w:rsidR="00B00A07" w:rsidRPr="002C701D">
        <w:t xml:space="preserve"> </w:t>
      </w:r>
      <w:r w:rsidR="00C45DA9">
        <w:t>the suppression of</w:t>
      </w:r>
      <w:r w:rsidR="00B00A07" w:rsidRPr="002C701D">
        <w:t xml:space="preserve"> the interference signals on the adjacent </w:t>
      </w:r>
      <w:r w:rsidR="009C11C3">
        <w:t>spectrum</w:t>
      </w:r>
      <w:r w:rsidR="00C45DA9">
        <w:t xml:space="preserve">, which may make it more feasible </w:t>
      </w:r>
      <w:r w:rsidR="00B53D30">
        <w:t xml:space="preserve">for the indoor co-site deployment scenario. </w:t>
      </w:r>
    </w:p>
    <w:p w14:paraId="1BBCAC5B" w14:textId="65EFD528" w:rsidR="00B53D30" w:rsidRPr="00B53D30" w:rsidRDefault="00B53D30" w:rsidP="007810DC">
      <w:pPr>
        <w:pStyle w:val="BodyText"/>
        <w:jc w:val="both"/>
        <w:rPr>
          <w:b/>
          <w:bCs/>
        </w:rPr>
      </w:pPr>
      <w:r w:rsidRPr="00F51742">
        <w:rPr>
          <w:b/>
          <w:bCs/>
        </w:rPr>
        <w:lastRenderedPageBreak/>
        <w:t xml:space="preserve">Observation </w:t>
      </w:r>
      <w:r w:rsidR="0076771E">
        <w:rPr>
          <w:b/>
          <w:bCs/>
        </w:rPr>
        <w:t>2</w:t>
      </w:r>
      <w:r w:rsidRPr="00F51742">
        <w:rPr>
          <w:b/>
          <w:bCs/>
        </w:rPr>
        <w:t xml:space="preserve">: </w:t>
      </w:r>
      <w:r>
        <w:rPr>
          <w:b/>
          <w:bCs/>
        </w:rPr>
        <w:t xml:space="preserve">device 2b with IF-ED receiver in R2D link is more </w:t>
      </w:r>
      <w:r w:rsidR="0076771E">
        <w:rPr>
          <w:b/>
          <w:bCs/>
        </w:rPr>
        <w:t>robust when there is a strong interference on the adjunct spectrum</w:t>
      </w:r>
      <w:r w:rsidR="003C7C75">
        <w:rPr>
          <w:b/>
          <w:bCs/>
          <w:lang w:val="en-SE"/>
        </w:rPr>
        <w:t xml:space="preserve">, and it is </w:t>
      </w:r>
      <w:r w:rsidR="007810DC">
        <w:rPr>
          <w:b/>
          <w:bCs/>
        </w:rPr>
        <w:t xml:space="preserve"> more feasible for indoor collocated deployment scenarios</w:t>
      </w:r>
      <w:r w:rsidR="0076771E">
        <w:rPr>
          <w:b/>
          <w:bCs/>
        </w:rPr>
        <w:t xml:space="preserve">. </w:t>
      </w:r>
    </w:p>
    <w:p w14:paraId="1567C267" w14:textId="525AAA51" w:rsidR="00B53D30" w:rsidRPr="00900D6A" w:rsidRDefault="00B53D30" w:rsidP="007810DC">
      <w:pPr>
        <w:pStyle w:val="BodyText"/>
        <w:jc w:val="both"/>
        <w:rPr>
          <w:b/>
          <w:bCs/>
        </w:rPr>
      </w:pPr>
      <w:r w:rsidRPr="00900D6A">
        <w:rPr>
          <w:b/>
          <w:bCs/>
        </w:rPr>
        <w:t xml:space="preserve">Proposal 1: RAN4 can </w:t>
      </w:r>
      <w:r w:rsidR="0076771E" w:rsidRPr="00900D6A">
        <w:rPr>
          <w:b/>
          <w:bCs/>
        </w:rPr>
        <w:t xml:space="preserve">further study </w:t>
      </w:r>
      <w:r w:rsidR="00900D6A" w:rsidRPr="00900D6A">
        <w:rPr>
          <w:b/>
          <w:bCs/>
        </w:rPr>
        <w:t xml:space="preserve">whether </w:t>
      </w:r>
      <w:r w:rsidR="0076771E" w:rsidRPr="00900D6A">
        <w:rPr>
          <w:b/>
          <w:bCs/>
        </w:rPr>
        <w:t xml:space="preserve">the </w:t>
      </w:r>
      <w:r w:rsidR="00900D6A" w:rsidRPr="00900D6A">
        <w:rPr>
          <w:b/>
          <w:bCs/>
        </w:rPr>
        <w:t>indoor c</w:t>
      </w:r>
      <w:r w:rsidR="0076771E" w:rsidRPr="00900D6A">
        <w:rPr>
          <w:b/>
          <w:bCs/>
        </w:rPr>
        <w:t xml:space="preserve">ollocated </w:t>
      </w:r>
      <w:r w:rsidR="00900D6A" w:rsidRPr="00900D6A">
        <w:rPr>
          <w:b/>
          <w:bCs/>
        </w:rPr>
        <w:t>scenario</w:t>
      </w:r>
      <w:r w:rsidR="0076771E" w:rsidRPr="00900D6A">
        <w:rPr>
          <w:b/>
          <w:bCs/>
        </w:rPr>
        <w:t xml:space="preserve"> </w:t>
      </w:r>
      <w:r w:rsidR="00900D6A" w:rsidRPr="00900D6A">
        <w:rPr>
          <w:b/>
          <w:bCs/>
        </w:rPr>
        <w:t xml:space="preserve">can be feasible for all device types. </w:t>
      </w:r>
    </w:p>
    <w:p w14:paraId="474498F3" w14:textId="77777777" w:rsidR="00B53D30" w:rsidRPr="002C701D" w:rsidRDefault="00B53D30" w:rsidP="002C701D">
      <w:pPr>
        <w:pStyle w:val="BodyText"/>
        <w:jc w:val="both"/>
      </w:pPr>
    </w:p>
    <w:p w14:paraId="6DDB6890" w14:textId="720AB6FC" w:rsidR="002C0DC8" w:rsidRDefault="002C0DC8" w:rsidP="0033615F">
      <w:pPr>
        <w:pStyle w:val="Heading1"/>
        <w:numPr>
          <w:ilvl w:val="0"/>
          <w:numId w:val="8"/>
        </w:numPr>
        <w:jc w:val="both"/>
        <w:rPr>
          <w:lang w:val="en-US"/>
        </w:rPr>
      </w:pPr>
      <w:r w:rsidRPr="0033615F">
        <w:rPr>
          <w:lang w:val="en-US"/>
        </w:rPr>
        <w:t>References</w:t>
      </w:r>
    </w:p>
    <w:p w14:paraId="3397A9D4" w14:textId="77777777" w:rsidR="00E70134" w:rsidRDefault="00E70134" w:rsidP="00E70134">
      <w:pPr>
        <w:pStyle w:val="BodyText"/>
        <w:numPr>
          <w:ilvl w:val="0"/>
          <w:numId w:val="7"/>
        </w:numPr>
        <w:rPr>
          <w:lang w:val="en-US"/>
        </w:rPr>
      </w:pPr>
      <w:r w:rsidRPr="007C58EC">
        <w:rPr>
          <w:lang w:val="en-US"/>
        </w:rPr>
        <w:t xml:space="preserve">R4-2408946 </w:t>
      </w:r>
      <w:r>
        <w:t xml:space="preserve">  </w:t>
      </w:r>
      <w:r w:rsidRPr="007C58EC">
        <w:rPr>
          <w:lang w:val="en-US"/>
        </w:rPr>
        <w:t>Topic summary for [111][135] FS_Ambient_IoT_solutions_part2</w:t>
      </w:r>
      <w:r>
        <w:t xml:space="preserve">       </w:t>
      </w:r>
      <w:r w:rsidRPr="007C58EC">
        <w:rPr>
          <w:lang w:val="en-US"/>
        </w:rPr>
        <w:t>Moderator(Huawei)</w:t>
      </w:r>
    </w:p>
    <w:p w14:paraId="5C5AF518" w14:textId="77777777" w:rsidR="00E70134" w:rsidRDefault="00E70134" w:rsidP="00E70134">
      <w:pPr>
        <w:pStyle w:val="BodyText"/>
        <w:numPr>
          <w:ilvl w:val="0"/>
          <w:numId w:val="7"/>
        </w:numPr>
        <w:rPr>
          <w:lang w:val="en-US"/>
        </w:rPr>
      </w:pPr>
      <w:r w:rsidRPr="009410AA">
        <w:rPr>
          <w:lang w:val="en-US"/>
        </w:rPr>
        <w:t>R4-2410597</w:t>
      </w:r>
      <w:r>
        <w:t xml:space="preserve">   </w:t>
      </w:r>
      <w:r w:rsidRPr="009410AA">
        <w:rPr>
          <w:lang w:val="en-US"/>
        </w:rPr>
        <w:t>WF on impacts of A-IoT on RF requirements</w:t>
      </w:r>
      <w:r w:rsidRPr="009410AA">
        <w:rPr>
          <w:lang w:val="en-US"/>
        </w:rPr>
        <w:tab/>
      </w:r>
      <w:r>
        <w:t xml:space="preserve">  </w:t>
      </w:r>
      <w:r w:rsidRPr="009410AA">
        <w:rPr>
          <w:lang w:val="en-US"/>
        </w:rPr>
        <w:t>Huawei</w:t>
      </w:r>
    </w:p>
    <w:p w14:paraId="2C4145E6" w14:textId="31F9847C" w:rsidR="000859F3" w:rsidRPr="00A80B7E" w:rsidRDefault="000859F3" w:rsidP="00E70134">
      <w:pPr>
        <w:pStyle w:val="BodyText"/>
        <w:jc w:val="both"/>
        <w:rPr>
          <w:lang w:val="en-US"/>
        </w:rPr>
      </w:pPr>
    </w:p>
    <w:sectPr w:rsidR="000859F3" w:rsidRPr="00A80B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9" w15:restartNumberingAfterBreak="0">
    <w:nsid w:val="23E41EFF"/>
    <w:multiLevelType w:val="hybridMultilevel"/>
    <w:tmpl w:val="AC12D05E"/>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26B10414"/>
    <w:multiLevelType w:val="hybridMultilevel"/>
    <w:tmpl w:val="30824A56"/>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12"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5E70DF"/>
    <w:multiLevelType w:val="hybridMultilevel"/>
    <w:tmpl w:val="DC1CAE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25305C"/>
    <w:multiLevelType w:val="hybridMultilevel"/>
    <w:tmpl w:val="DA6E6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5580816">
    <w:abstractNumId w:val="12"/>
  </w:num>
  <w:num w:numId="2" w16cid:durableId="1470318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11"/>
  </w:num>
  <w:num w:numId="4" w16cid:durableId="2009945231">
    <w:abstractNumId w:val="8"/>
  </w:num>
  <w:num w:numId="5" w16cid:durableId="1947420592">
    <w:abstractNumId w:val="18"/>
  </w:num>
  <w:num w:numId="6" w16cid:durableId="2108962001">
    <w:abstractNumId w:val="0"/>
  </w:num>
  <w:num w:numId="7" w16cid:durableId="1618370391">
    <w:abstractNumId w:val="5"/>
  </w:num>
  <w:num w:numId="8" w16cid:durableId="18396918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13"/>
  </w:num>
  <w:num w:numId="10" w16cid:durableId="20963214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12"/>
  </w:num>
  <w:num w:numId="12" w16cid:durableId="480385890">
    <w:abstractNumId w:val="12"/>
  </w:num>
  <w:num w:numId="13" w16cid:durableId="791291535">
    <w:abstractNumId w:val="12"/>
  </w:num>
  <w:num w:numId="14" w16cid:durableId="1323460439">
    <w:abstractNumId w:val="12"/>
  </w:num>
  <w:num w:numId="15" w16cid:durableId="1152716522">
    <w:abstractNumId w:val="16"/>
  </w:num>
  <w:num w:numId="16" w16cid:durableId="235406696">
    <w:abstractNumId w:val="12"/>
  </w:num>
  <w:num w:numId="17" w16cid:durableId="891623322">
    <w:abstractNumId w:val="1"/>
  </w:num>
  <w:num w:numId="18" w16cid:durableId="629360499">
    <w:abstractNumId w:val="15"/>
  </w:num>
  <w:num w:numId="19" w16cid:durableId="109403126">
    <w:abstractNumId w:val="12"/>
  </w:num>
  <w:num w:numId="20" w16cid:durableId="991905506">
    <w:abstractNumId w:val="4"/>
  </w:num>
  <w:num w:numId="21" w16cid:durableId="1791781568">
    <w:abstractNumId w:val="17"/>
  </w:num>
  <w:num w:numId="22" w16cid:durableId="2082021078">
    <w:abstractNumId w:val="12"/>
  </w:num>
  <w:num w:numId="23" w16cid:durableId="1392735314">
    <w:abstractNumId w:val="20"/>
  </w:num>
  <w:num w:numId="24" w16cid:durableId="1820078647">
    <w:abstractNumId w:val="7"/>
  </w:num>
  <w:num w:numId="25" w16cid:durableId="71397425">
    <w:abstractNumId w:val="12"/>
  </w:num>
  <w:num w:numId="26" w16cid:durableId="385109413">
    <w:abstractNumId w:val="12"/>
  </w:num>
  <w:num w:numId="27" w16cid:durableId="1355880245">
    <w:abstractNumId w:val="14"/>
  </w:num>
  <w:num w:numId="28" w16cid:durableId="1628663260">
    <w:abstractNumId w:val="19"/>
  </w:num>
  <w:num w:numId="29" w16cid:durableId="132456289">
    <w:abstractNumId w:val="12"/>
  </w:num>
  <w:num w:numId="30" w16cid:durableId="446966171">
    <w:abstractNumId w:val="3"/>
  </w:num>
  <w:num w:numId="31" w16cid:durableId="1565602719">
    <w:abstractNumId w:val="10"/>
  </w:num>
  <w:num w:numId="32" w16cid:durableId="2054037210">
    <w:abstractNumId w:val="6"/>
  </w:num>
  <w:num w:numId="33" w16cid:durableId="746613338">
    <w:abstractNumId w:val="9"/>
  </w:num>
  <w:num w:numId="34" w16cid:durableId="351566535">
    <w:abstractNumId w:val="1"/>
  </w:num>
  <w:num w:numId="35" w16cid:durableId="1264920109">
    <w:abstractNumId w:val="3"/>
  </w:num>
  <w:num w:numId="36" w16cid:durableId="1451513413">
    <w:abstractNumId w:val="4"/>
  </w:num>
  <w:num w:numId="37" w16cid:durableId="4842776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gwtagGmRkdtLQAAAA=="/>
  </w:docVars>
  <w:rsids>
    <w:rsidRoot w:val="0065781A"/>
    <w:rsid w:val="000022C4"/>
    <w:rsid w:val="000069DA"/>
    <w:rsid w:val="0001758E"/>
    <w:rsid w:val="00031E9F"/>
    <w:rsid w:val="00032D76"/>
    <w:rsid w:val="00035426"/>
    <w:rsid w:val="000424BF"/>
    <w:rsid w:val="00042F9C"/>
    <w:rsid w:val="00053AEB"/>
    <w:rsid w:val="00053EA5"/>
    <w:rsid w:val="00060685"/>
    <w:rsid w:val="00063DBA"/>
    <w:rsid w:val="0006724E"/>
    <w:rsid w:val="00067895"/>
    <w:rsid w:val="00071EC6"/>
    <w:rsid w:val="00083794"/>
    <w:rsid w:val="000859F3"/>
    <w:rsid w:val="00086900"/>
    <w:rsid w:val="00091F4A"/>
    <w:rsid w:val="000A1C43"/>
    <w:rsid w:val="000A254B"/>
    <w:rsid w:val="000A5DA8"/>
    <w:rsid w:val="000B507A"/>
    <w:rsid w:val="000C117E"/>
    <w:rsid w:val="000C20D5"/>
    <w:rsid w:val="000C5204"/>
    <w:rsid w:val="000D084F"/>
    <w:rsid w:val="000D089B"/>
    <w:rsid w:val="000D429B"/>
    <w:rsid w:val="000D6CC4"/>
    <w:rsid w:val="000E195F"/>
    <w:rsid w:val="000E7415"/>
    <w:rsid w:val="000F07BC"/>
    <w:rsid w:val="000F1915"/>
    <w:rsid w:val="000F19B8"/>
    <w:rsid w:val="000F1C13"/>
    <w:rsid w:val="000F4FE9"/>
    <w:rsid w:val="00102A99"/>
    <w:rsid w:val="00102C0D"/>
    <w:rsid w:val="00102DA7"/>
    <w:rsid w:val="00123163"/>
    <w:rsid w:val="00123365"/>
    <w:rsid w:val="0012420F"/>
    <w:rsid w:val="00124FA3"/>
    <w:rsid w:val="001308A9"/>
    <w:rsid w:val="00134973"/>
    <w:rsid w:val="001448A3"/>
    <w:rsid w:val="00152377"/>
    <w:rsid w:val="0016106B"/>
    <w:rsid w:val="00166A72"/>
    <w:rsid w:val="00173B56"/>
    <w:rsid w:val="001812F5"/>
    <w:rsid w:val="00185AD7"/>
    <w:rsid w:val="001932C7"/>
    <w:rsid w:val="001938AF"/>
    <w:rsid w:val="001A10E7"/>
    <w:rsid w:val="001A14E7"/>
    <w:rsid w:val="001B652D"/>
    <w:rsid w:val="001C0DF1"/>
    <w:rsid w:val="001C19A9"/>
    <w:rsid w:val="001C2613"/>
    <w:rsid w:val="001D1698"/>
    <w:rsid w:val="001D39CB"/>
    <w:rsid w:val="001D52F9"/>
    <w:rsid w:val="001F00C1"/>
    <w:rsid w:val="001F3426"/>
    <w:rsid w:val="001F56CA"/>
    <w:rsid w:val="001F63C4"/>
    <w:rsid w:val="002001F6"/>
    <w:rsid w:val="00201279"/>
    <w:rsid w:val="00203824"/>
    <w:rsid w:val="002127E7"/>
    <w:rsid w:val="00212D0C"/>
    <w:rsid w:val="00212D68"/>
    <w:rsid w:val="00221521"/>
    <w:rsid w:val="002222D0"/>
    <w:rsid w:val="00236098"/>
    <w:rsid w:val="00240B60"/>
    <w:rsid w:val="002466C1"/>
    <w:rsid w:val="00252A7D"/>
    <w:rsid w:val="002531C3"/>
    <w:rsid w:val="00270B12"/>
    <w:rsid w:val="00281C51"/>
    <w:rsid w:val="00291DAC"/>
    <w:rsid w:val="00294257"/>
    <w:rsid w:val="002A042D"/>
    <w:rsid w:val="002A5CA3"/>
    <w:rsid w:val="002B3886"/>
    <w:rsid w:val="002B4B25"/>
    <w:rsid w:val="002B6FAD"/>
    <w:rsid w:val="002C0DC8"/>
    <w:rsid w:val="002C4B6A"/>
    <w:rsid w:val="002C701D"/>
    <w:rsid w:val="002E709E"/>
    <w:rsid w:val="002F424E"/>
    <w:rsid w:val="0030370F"/>
    <w:rsid w:val="003153F8"/>
    <w:rsid w:val="00316F84"/>
    <w:rsid w:val="0032246D"/>
    <w:rsid w:val="00332134"/>
    <w:rsid w:val="0033353E"/>
    <w:rsid w:val="0033615F"/>
    <w:rsid w:val="00344E3D"/>
    <w:rsid w:val="00345FF5"/>
    <w:rsid w:val="003563BE"/>
    <w:rsid w:val="00361167"/>
    <w:rsid w:val="003707CE"/>
    <w:rsid w:val="00373134"/>
    <w:rsid w:val="0037689D"/>
    <w:rsid w:val="00384FBD"/>
    <w:rsid w:val="00387B93"/>
    <w:rsid w:val="00390592"/>
    <w:rsid w:val="00391800"/>
    <w:rsid w:val="00391833"/>
    <w:rsid w:val="003932B0"/>
    <w:rsid w:val="00394F21"/>
    <w:rsid w:val="003A20FE"/>
    <w:rsid w:val="003A4029"/>
    <w:rsid w:val="003A4A4F"/>
    <w:rsid w:val="003A5BC8"/>
    <w:rsid w:val="003A6168"/>
    <w:rsid w:val="003B51F3"/>
    <w:rsid w:val="003C2C1C"/>
    <w:rsid w:val="003C2ED6"/>
    <w:rsid w:val="003C3DFD"/>
    <w:rsid w:val="003C3F68"/>
    <w:rsid w:val="003C69C5"/>
    <w:rsid w:val="003C722E"/>
    <w:rsid w:val="003C7C75"/>
    <w:rsid w:val="003C7E04"/>
    <w:rsid w:val="003E1A43"/>
    <w:rsid w:val="003F043E"/>
    <w:rsid w:val="00402BC9"/>
    <w:rsid w:val="00407DBB"/>
    <w:rsid w:val="00417A67"/>
    <w:rsid w:val="00417CD5"/>
    <w:rsid w:val="00424367"/>
    <w:rsid w:val="0043052F"/>
    <w:rsid w:val="0043447D"/>
    <w:rsid w:val="004417E7"/>
    <w:rsid w:val="0044569B"/>
    <w:rsid w:val="004506E5"/>
    <w:rsid w:val="00452229"/>
    <w:rsid w:val="004557DA"/>
    <w:rsid w:val="00472246"/>
    <w:rsid w:val="00475FB6"/>
    <w:rsid w:val="0048000A"/>
    <w:rsid w:val="004837F3"/>
    <w:rsid w:val="0048477D"/>
    <w:rsid w:val="00487305"/>
    <w:rsid w:val="004A4312"/>
    <w:rsid w:val="004B0F02"/>
    <w:rsid w:val="004B1C03"/>
    <w:rsid w:val="004B3CD9"/>
    <w:rsid w:val="004B6B78"/>
    <w:rsid w:val="004C12CF"/>
    <w:rsid w:val="004C1B56"/>
    <w:rsid w:val="004C3379"/>
    <w:rsid w:val="004C354B"/>
    <w:rsid w:val="004C7C61"/>
    <w:rsid w:val="004D109F"/>
    <w:rsid w:val="004D3B44"/>
    <w:rsid w:val="004D4BBB"/>
    <w:rsid w:val="004E02FD"/>
    <w:rsid w:val="004E212E"/>
    <w:rsid w:val="004E286F"/>
    <w:rsid w:val="004E682F"/>
    <w:rsid w:val="005035D0"/>
    <w:rsid w:val="0050641C"/>
    <w:rsid w:val="0051208B"/>
    <w:rsid w:val="00515673"/>
    <w:rsid w:val="005157DB"/>
    <w:rsid w:val="00517FE7"/>
    <w:rsid w:val="005324B1"/>
    <w:rsid w:val="00536E5C"/>
    <w:rsid w:val="005403AE"/>
    <w:rsid w:val="00550F1D"/>
    <w:rsid w:val="00550F31"/>
    <w:rsid w:val="005518DA"/>
    <w:rsid w:val="0055336F"/>
    <w:rsid w:val="00560238"/>
    <w:rsid w:val="00560DD6"/>
    <w:rsid w:val="00560FAF"/>
    <w:rsid w:val="00574615"/>
    <w:rsid w:val="00576584"/>
    <w:rsid w:val="00580A1C"/>
    <w:rsid w:val="00583455"/>
    <w:rsid w:val="00592581"/>
    <w:rsid w:val="005A226F"/>
    <w:rsid w:val="005B0042"/>
    <w:rsid w:val="005C7730"/>
    <w:rsid w:val="005D2722"/>
    <w:rsid w:val="005D2BFC"/>
    <w:rsid w:val="005E4E92"/>
    <w:rsid w:val="005E57AB"/>
    <w:rsid w:val="005E638D"/>
    <w:rsid w:val="005E6D7B"/>
    <w:rsid w:val="005F229C"/>
    <w:rsid w:val="00602212"/>
    <w:rsid w:val="00603E16"/>
    <w:rsid w:val="00606456"/>
    <w:rsid w:val="00606D56"/>
    <w:rsid w:val="00607C0B"/>
    <w:rsid w:val="00621743"/>
    <w:rsid w:val="00630279"/>
    <w:rsid w:val="00631D9B"/>
    <w:rsid w:val="006358D9"/>
    <w:rsid w:val="0064345E"/>
    <w:rsid w:val="006440B7"/>
    <w:rsid w:val="006464D6"/>
    <w:rsid w:val="00646EF8"/>
    <w:rsid w:val="006530A8"/>
    <w:rsid w:val="006571D4"/>
    <w:rsid w:val="0065781A"/>
    <w:rsid w:val="00662A5A"/>
    <w:rsid w:val="00667B69"/>
    <w:rsid w:val="006758D6"/>
    <w:rsid w:val="006778FE"/>
    <w:rsid w:val="00681113"/>
    <w:rsid w:val="0069132A"/>
    <w:rsid w:val="006932FC"/>
    <w:rsid w:val="006A2A93"/>
    <w:rsid w:val="006A7F66"/>
    <w:rsid w:val="006B060A"/>
    <w:rsid w:val="006B0664"/>
    <w:rsid w:val="006B1412"/>
    <w:rsid w:val="006B7C95"/>
    <w:rsid w:val="006B7CFA"/>
    <w:rsid w:val="006C5368"/>
    <w:rsid w:val="006D4771"/>
    <w:rsid w:val="006D71D6"/>
    <w:rsid w:val="006E4AE7"/>
    <w:rsid w:val="006E57D3"/>
    <w:rsid w:val="0070270C"/>
    <w:rsid w:val="007031C4"/>
    <w:rsid w:val="007054F5"/>
    <w:rsid w:val="00705C5E"/>
    <w:rsid w:val="0071128C"/>
    <w:rsid w:val="00711D56"/>
    <w:rsid w:val="00720360"/>
    <w:rsid w:val="00720367"/>
    <w:rsid w:val="00726B99"/>
    <w:rsid w:val="007357BA"/>
    <w:rsid w:val="00736926"/>
    <w:rsid w:val="00737906"/>
    <w:rsid w:val="00745C24"/>
    <w:rsid w:val="00745F45"/>
    <w:rsid w:val="00752AF7"/>
    <w:rsid w:val="007629D4"/>
    <w:rsid w:val="00766484"/>
    <w:rsid w:val="007669FD"/>
    <w:rsid w:val="0076771E"/>
    <w:rsid w:val="00770AAE"/>
    <w:rsid w:val="00774440"/>
    <w:rsid w:val="007810DC"/>
    <w:rsid w:val="00782ACA"/>
    <w:rsid w:val="007C5647"/>
    <w:rsid w:val="007D2C00"/>
    <w:rsid w:val="007E1A52"/>
    <w:rsid w:val="007E35D2"/>
    <w:rsid w:val="007F0045"/>
    <w:rsid w:val="007F0334"/>
    <w:rsid w:val="00801748"/>
    <w:rsid w:val="00802EF8"/>
    <w:rsid w:val="0080508C"/>
    <w:rsid w:val="008200C4"/>
    <w:rsid w:val="008212DE"/>
    <w:rsid w:val="00825846"/>
    <w:rsid w:val="008363CF"/>
    <w:rsid w:val="00837039"/>
    <w:rsid w:val="00840EDC"/>
    <w:rsid w:val="00855001"/>
    <w:rsid w:val="008603C5"/>
    <w:rsid w:val="008724FB"/>
    <w:rsid w:val="00883D1C"/>
    <w:rsid w:val="008875F4"/>
    <w:rsid w:val="00890714"/>
    <w:rsid w:val="00892FBA"/>
    <w:rsid w:val="008A089B"/>
    <w:rsid w:val="008A1481"/>
    <w:rsid w:val="008A353B"/>
    <w:rsid w:val="008B49B2"/>
    <w:rsid w:val="008C092A"/>
    <w:rsid w:val="008C4629"/>
    <w:rsid w:val="008C5570"/>
    <w:rsid w:val="008D0F02"/>
    <w:rsid w:val="008D1CD3"/>
    <w:rsid w:val="008D29DB"/>
    <w:rsid w:val="008F1125"/>
    <w:rsid w:val="008F6DD2"/>
    <w:rsid w:val="009009BB"/>
    <w:rsid w:val="00900D6A"/>
    <w:rsid w:val="00901628"/>
    <w:rsid w:val="00904350"/>
    <w:rsid w:val="00905A54"/>
    <w:rsid w:val="00923814"/>
    <w:rsid w:val="0093253A"/>
    <w:rsid w:val="0093625F"/>
    <w:rsid w:val="0094036C"/>
    <w:rsid w:val="009405E5"/>
    <w:rsid w:val="0094298F"/>
    <w:rsid w:val="00942DE0"/>
    <w:rsid w:val="00945FA8"/>
    <w:rsid w:val="00946398"/>
    <w:rsid w:val="00953274"/>
    <w:rsid w:val="009536AF"/>
    <w:rsid w:val="00956256"/>
    <w:rsid w:val="00970E3B"/>
    <w:rsid w:val="00973366"/>
    <w:rsid w:val="00984FD4"/>
    <w:rsid w:val="00995E85"/>
    <w:rsid w:val="009A3FB5"/>
    <w:rsid w:val="009B4D5E"/>
    <w:rsid w:val="009B7EC5"/>
    <w:rsid w:val="009C0D0A"/>
    <w:rsid w:val="009C11C3"/>
    <w:rsid w:val="009D040B"/>
    <w:rsid w:val="009D3065"/>
    <w:rsid w:val="009D3CEC"/>
    <w:rsid w:val="009D790A"/>
    <w:rsid w:val="009E4BDA"/>
    <w:rsid w:val="009F00D6"/>
    <w:rsid w:val="009F011C"/>
    <w:rsid w:val="009F14F2"/>
    <w:rsid w:val="009F286E"/>
    <w:rsid w:val="009F7F51"/>
    <w:rsid w:val="00A06A5D"/>
    <w:rsid w:val="00A07868"/>
    <w:rsid w:val="00A17AB0"/>
    <w:rsid w:val="00A20C10"/>
    <w:rsid w:val="00A247B8"/>
    <w:rsid w:val="00A24D7C"/>
    <w:rsid w:val="00A25DC0"/>
    <w:rsid w:val="00A268EC"/>
    <w:rsid w:val="00A27F62"/>
    <w:rsid w:val="00A319B0"/>
    <w:rsid w:val="00A416FF"/>
    <w:rsid w:val="00A50DA1"/>
    <w:rsid w:val="00A6163D"/>
    <w:rsid w:val="00A6220F"/>
    <w:rsid w:val="00A736C2"/>
    <w:rsid w:val="00A75DED"/>
    <w:rsid w:val="00A803F7"/>
    <w:rsid w:val="00A80B7E"/>
    <w:rsid w:val="00A81EDA"/>
    <w:rsid w:val="00A82294"/>
    <w:rsid w:val="00A82D60"/>
    <w:rsid w:val="00A846FF"/>
    <w:rsid w:val="00A90D2D"/>
    <w:rsid w:val="00A90E0D"/>
    <w:rsid w:val="00A97E45"/>
    <w:rsid w:val="00AA17FA"/>
    <w:rsid w:val="00AA3A39"/>
    <w:rsid w:val="00AA3B43"/>
    <w:rsid w:val="00AA440D"/>
    <w:rsid w:val="00AB0F4D"/>
    <w:rsid w:val="00AC0027"/>
    <w:rsid w:val="00AE0329"/>
    <w:rsid w:val="00AE1D5A"/>
    <w:rsid w:val="00AE2002"/>
    <w:rsid w:val="00AE3632"/>
    <w:rsid w:val="00AE5141"/>
    <w:rsid w:val="00AE5FAC"/>
    <w:rsid w:val="00B00A07"/>
    <w:rsid w:val="00B159D7"/>
    <w:rsid w:val="00B22149"/>
    <w:rsid w:val="00B22467"/>
    <w:rsid w:val="00B2435E"/>
    <w:rsid w:val="00B304FC"/>
    <w:rsid w:val="00B34C07"/>
    <w:rsid w:val="00B410FB"/>
    <w:rsid w:val="00B5003B"/>
    <w:rsid w:val="00B50751"/>
    <w:rsid w:val="00B53D30"/>
    <w:rsid w:val="00B63435"/>
    <w:rsid w:val="00B63CB6"/>
    <w:rsid w:val="00B65A88"/>
    <w:rsid w:val="00B663C7"/>
    <w:rsid w:val="00B66E78"/>
    <w:rsid w:val="00B70EF5"/>
    <w:rsid w:val="00B7422C"/>
    <w:rsid w:val="00B749BF"/>
    <w:rsid w:val="00B74B21"/>
    <w:rsid w:val="00B816C6"/>
    <w:rsid w:val="00B82199"/>
    <w:rsid w:val="00B832C7"/>
    <w:rsid w:val="00B93621"/>
    <w:rsid w:val="00B93628"/>
    <w:rsid w:val="00BA21B4"/>
    <w:rsid w:val="00BA3544"/>
    <w:rsid w:val="00BA417D"/>
    <w:rsid w:val="00BA534F"/>
    <w:rsid w:val="00BB607A"/>
    <w:rsid w:val="00BB66D5"/>
    <w:rsid w:val="00BC514B"/>
    <w:rsid w:val="00BC786D"/>
    <w:rsid w:val="00BD29D1"/>
    <w:rsid w:val="00BE4484"/>
    <w:rsid w:val="00BE5E0B"/>
    <w:rsid w:val="00BF109F"/>
    <w:rsid w:val="00C01320"/>
    <w:rsid w:val="00C15FC5"/>
    <w:rsid w:val="00C165AD"/>
    <w:rsid w:val="00C225F4"/>
    <w:rsid w:val="00C24B67"/>
    <w:rsid w:val="00C26530"/>
    <w:rsid w:val="00C33AE7"/>
    <w:rsid w:val="00C42A11"/>
    <w:rsid w:val="00C44FD9"/>
    <w:rsid w:val="00C45DA9"/>
    <w:rsid w:val="00C56FBF"/>
    <w:rsid w:val="00C57204"/>
    <w:rsid w:val="00C73472"/>
    <w:rsid w:val="00C75402"/>
    <w:rsid w:val="00C76291"/>
    <w:rsid w:val="00C80581"/>
    <w:rsid w:val="00C8239D"/>
    <w:rsid w:val="00C866F2"/>
    <w:rsid w:val="00CB19B6"/>
    <w:rsid w:val="00CB65DE"/>
    <w:rsid w:val="00CC74FC"/>
    <w:rsid w:val="00CC7C3E"/>
    <w:rsid w:val="00CC7FFC"/>
    <w:rsid w:val="00CD3E10"/>
    <w:rsid w:val="00CD6B87"/>
    <w:rsid w:val="00CE0562"/>
    <w:rsid w:val="00CE1FAF"/>
    <w:rsid w:val="00CE2C0D"/>
    <w:rsid w:val="00CE4FDB"/>
    <w:rsid w:val="00D02023"/>
    <w:rsid w:val="00D079F1"/>
    <w:rsid w:val="00D139DC"/>
    <w:rsid w:val="00D17520"/>
    <w:rsid w:val="00D2179F"/>
    <w:rsid w:val="00D22778"/>
    <w:rsid w:val="00D2605B"/>
    <w:rsid w:val="00D263E5"/>
    <w:rsid w:val="00D37F8B"/>
    <w:rsid w:val="00D43FD9"/>
    <w:rsid w:val="00D463C1"/>
    <w:rsid w:val="00D501FA"/>
    <w:rsid w:val="00D52AC4"/>
    <w:rsid w:val="00D577C0"/>
    <w:rsid w:val="00D57804"/>
    <w:rsid w:val="00D62054"/>
    <w:rsid w:val="00D625AB"/>
    <w:rsid w:val="00D82CD1"/>
    <w:rsid w:val="00D85C28"/>
    <w:rsid w:val="00D87725"/>
    <w:rsid w:val="00D9119D"/>
    <w:rsid w:val="00D92752"/>
    <w:rsid w:val="00DA0382"/>
    <w:rsid w:val="00DA0C56"/>
    <w:rsid w:val="00DA16B1"/>
    <w:rsid w:val="00DC24F4"/>
    <w:rsid w:val="00DC2B7E"/>
    <w:rsid w:val="00DE1494"/>
    <w:rsid w:val="00DE4858"/>
    <w:rsid w:val="00DE510D"/>
    <w:rsid w:val="00DF0E8A"/>
    <w:rsid w:val="00DF0EF6"/>
    <w:rsid w:val="00DF26C4"/>
    <w:rsid w:val="00DF3FB6"/>
    <w:rsid w:val="00DF4E9D"/>
    <w:rsid w:val="00DF5E65"/>
    <w:rsid w:val="00E01E3C"/>
    <w:rsid w:val="00E07ACE"/>
    <w:rsid w:val="00E15760"/>
    <w:rsid w:val="00E239D3"/>
    <w:rsid w:val="00E248CB"/>
    <w:rsid w:val="00E33923"/>
    <w:rsid w:val="00E35D19"/>
    <w:rsid w:val="00E457D7"/>
    <w:rsid w:val="00E4716B"/>
    <w:rsid w:val="00E55ABF"/>
    <w:rsid w:val="00E60050"/>
    <w:rsid w:val="00E645F4"/>
    <w:rsid w:val="00E66308"/>
    <w:rsid w:val="00E664E6"/>
    <w:rsid w:val="00E70134"/>
    <w:rsid w:val="00E71537"/>
    <w:rsid w:val="00E720E3"/>
    <w:rsid w:val="00E75827"/>
    <w:rsid w:val="00E825CF"/>
    <w:rsid w:val="00E82A14"/>
    <w:rsid w:val="00E84104"/>
    <w:rsid w:val="00EA35EE"/>
    <w:rsid w:val="00EA5100"/>
    <w:rsid w:val="00EA5145"/>
    <w:rsid w:val="00EA5F5E"/>
    <w:rsid w:val="00EB2CE9"/>
    <w:rsid w:val="00EC36BE"/>
    <w:rsid w:val="00ED219D"/>
    <w:rsid w:val="00ED6346"/>
    <w:rsid w:val="00EE31AE"/>
    <w:rsid w:val="00EE49CD"/>
    <w:rsid w:val="00F005C8"/>
    <w:rsid w:val="00F03B62"/>
    <w:rsid w:val="00F05952"/>
    <w:rsid w:val="00F119BB"/>
    <w:rsid w:val="00F2714D"/>
    <w:rsid w:val="00F31E1C"/>
    <w:rsid w:val="00F33C68"/>
    <w:rsid w:val="00F37B08"/>
    <w:rsid w:val="00F51742"/>
    <w:rsid w:val="00F57635"/>
    <w:rsid w:val="00F64FA5"/>
    <w:rsid w:val="00F67507"/>
    <w:rsid w:val="00F70BCF"/>
    <w:rsid w:val="00F745EB"/>
    <w:rsid w:val="00F904CF"/>
    <w:rsid w:val="00F966B9"/>
    <w:rsid w:val="00FA0723"/>
    <w:rsid w:val="00FA7E55"/>
    <w:rsid w:val="00FB11CD"/>
    <w:rsid w:val="00FB2386"/>
    <w:rsid w:val="00FB2DC7"/>
    <w:rsid w:val="00FC1668"/>
    <w:rsid w:val="00FC5B1A"/>
    <w:rsid w:val="00FD5FF4"/>
    <w:rsid w:val="00FD6EDE"/>
    <w:rsid w:val="00FD7A4F"/>
    <w:rsid w:val="00FF25F9"/>
    <w:rsid w:val="00FF5868"/>
    <w:rsid w:val="00FF721D"/>
    <w:rsid w:val="58A1ACE1"/>
    <w:rsid w:val="61258B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BA81BFBC-4AD4-4E5E-BA87-C3A58DBA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table" w:customStyle="1" w:styleId="1">
    <w:name w:val="网格型1"/>
    <w:basedOn w:val="TableNormal"/>
    <w:qFormat/>
    <w:rsid w:val="00A07868"/>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749BF"/>
    <w:rPr>
      <w:color w:val="2B579A"/>
      <w:shd w:val="clear" w:color="auto" w:fill="E1DFDD"/>
    </w:rPr>
  </w:style>
  <w:style w:type="table" w:styleId="TableGrid">
    <w:name w:val="Table Grid"/>
    <w:basedOn w:val="TableNormal"/>
    <w:qFormat/>
    <w:rsid w:val="00123163"/>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8017">
      <w:bodyDiv w:val="1"/>
      <w:marLeft w:val="0"/>
      <w:marRight w:val="0"/>
      <w:marTop w:val="0"/>
      <w:marBottom w:val="0"/>
      <w:divBdr>
        <w:top w:val="none" w:sz="0" w:space="0" w:color="auto"/>
        <w:left w:val="none" w:sz="0" w:space="0" w:color="auto"/>
        <w:bottom w:val="none" w:sz="0" w:space="0" w:color="auto"/>
        <w:right w:val="none" w:sz="0" w:space="0" w:color="auto"/>
      </w:divBdr>
    </w:div>
    <w:div w:id="345180615">
      <w:bodyDiv w:val="1"/>
      <w:marLeft w:val="0"/>
      <w:marRight w:val="0"/>
      <w:marTop w:val="0"/>
      <w:marBottom w:val="0"/>
      <w:divBdr>
        <w:top w:val="none" w:sz="0" w:space="0" w:color="auto"/>
        <w:left w:val="none" w:sz="0" w:space="0" w:color="auto"/>
        <w:bottom w:val="none" w:sz="0" w:space="0" w:color="auto"/>
        <w:right w:val="none" w:sz="0" w:space="0" w:color="auto"/>
      </w:divBdr>
    </w:div>
    <w:div w:id="888540213">
      <w:bodyDiv w:val="1"/>
      <w:marLeft w:val="0"/>
      <w:marRight w:val="0"/>
      <w:marTop w:val="0"/>
      <w:marBottom w:val="0"/>
      <w:divBdr>
        <w:top w:val="none" w:sz="0" w:space="0" w:color="auto"/>
        <w:left w:val="none" w:sz="0" w:space="0" w:color="auto"/>
        <w:bottom w:val="none" w:sz="0" w:space="0" w:color="auto"/>
        <w:right w:val="none" w:sz="0" w:space="0" w:color="auto"/>
      </w:divBdr>
    </w:div>
    <w:div w:id="1191643212">
      <w:bodyDiv w:val="1"/>
      <w:marLeft w:val="0"/>
      <w:marRight w:val="0"/>
      <w:marTop w:val="0"/>
      <w:marBottom w:val="0"/>
      <w:divBdr>
        <w:top w:val="none" w:sz="0" w:space="0" w:color="auto"/>
        <w:left w:val="none" w:sz="0" w:space="0" w:color="auto"/>
        <w:bottom w:val="none" w:sz="0" w:space="0" w:color="auto"/>
        <w:right w:val="none" w:sz="0" w:space="0" w:color="auto"/>
      </w:divBdr>
    </w:div>
    <w:div w:id="1276208301">
      <w:bodyDiv w:val="1"/>
      <w:marLeft w:val="0"/>
      <w:marRight w:val="0"/>
      <w:marTop w:val="0"/>
      <w:marBottom w:val="0"/>
      <w:divBdr>
        <w:top w:val="none" w:sz="0" w:space="0" w:color="auto"/>
        <w:left w:val="none" w:sz="0" w:space="0" w:color="auto"/>
        <w:bottom w:val="none" w:sz="0" w:space="0" w:color="auto"/>
        <w:right w:val="none" w:sz="0" w:space="0" w:color="auto"/>
      </w:divBdr>
    </w:div>
    <w:div w:id="1542211058">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AC5F-B7CE-4F46-9DA8-D28566BAD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3.xml><?xml version="1.0" encoding="utf-8"?>
<ds:datastoreItem xmlns:ds="http://schemas.openxmlformats.org/officeDocument/2006/customXml" ds:itemID="{65DFA214-E425-495C-95C0-76B825638176}">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fed6b700-95b7-4bcd-9420-776afa9d3ef7"/>
    <ds:schemaRef ds:uri="http://purl.org/dc/dcmitype/"/>
  </ds:schemaRefs>
</ds:datastoreItem>
</file>

<file path=customXml/itemProps4.xml><?xml version="1.0" encoding="utf-8"?>
<ds:datastoreItem xmlns:ds="http://schemas.openxmlformats.org/officeDocument/2006/customXml" ds:itemID="{A110618E-1045-416E-A13F-CDBF47F10999}">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Zhao, Kun</cp:lastModifiedBy>
  <cp:revision>4</cp:revision>
  <dcterms:created xsi:type="dcterms:W3CDTF">2024-08-09T11:05:00Z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